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54F7D" w:rsidRPr="00EA3E15" w:rsidRDefault="007516B4" w:rsidP="00C07656">
      <w:pPr>
        <w:numPr>
          <w:ilvl w:val="0"/>
          <w:numId w:val="6"/>
        </w:numPr>
        <w:tabs>
          <w:tab w:val="clear" w:pos="720"/>
          <w:tab w:val="num" w:pos="360"/>
        </w:tabs>
        <w:spacing w:before="240"/>
        <w:ind w:left="360"/>
        <w:jc w:val="both"/>
        <w:rPr>
          <w:rFonts w:ascii="Arial" w:hAnsi="Arial" w:cs="Arial"/>
          <w:i/>
          <w:sz w:val="22"/>
          <w:szCs w:val="22"/>
        </w:rPr>
      </w:pPr>
      <w:r>
        <w:rPr>
          <w:rFonts w:ascii="Arial" w:hAnsi="Arial" w:cs="Arial"/>
          <w:noProof/>
          <w:sz w:val="22"/>
          <w:szCs w:val="22"/>
        </w:rPr>
        <mc:AlternateContent>
          <mc:Choice Requires="wps">
            <w:drawing>
              <wp:anchor distT="0" distB="0" distL="114300" distR="114300" simplePos="0" relativeHeight="251657728" behindDoc="0" locked="0" layoutInCell="1" allowOverlap="1">
                <wp:simplePos x="0" y="0"/>
                <wp:positionH relativeFrom="column">
                  <wp:posOffset>4800600</wp:posOffset>
                </wp:positionH>
                <wp:positionV relativeFrom="paragraph">
                  <wp:posOffset>-1104900</wp:posOffset>
                </wp:positionV>
                <wp:extent cx="1600200" cy="342900"/>
                <wp:effectExtent l="0" t="1905" r="444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0FC5" w:rsidRPr="00012D50" w:rsidRDefault="007A0FC5" w:rsidP="00012D50">
                            <w:pPr>
                              <w:jc w:val="right"/>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78pt;margin-top:-87pt;width:126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" stroked="f">
                <v:textbox>
                  <w:txbxContent>
                    <w:p w:rsidR="007A0FC5" w:rsidRPr="00012D50" w:rsidRDefault="007A0FC5" w:rsidP="00012D50">
                      <w:pPr>
                        <w:jc w:val="right"/>
                        <w:rPr>
                          <w:b/>
                        </w:rPr>
                      </w:pPr>
                    </w:p>
                  </w:txbxContent>
                </v:textbox>
              </v:shape>
            </w:pict>
          </mc:Fallback>
        </mc:AlternateContent>
      </w:r>
      <w:r w:rsidR="00654F7D" w:rsidRPr="00EA3E15">
        <w:rPr>
          <w:rFonts w:ascii="Arial" w:hAnsi="Arial" w:cs="Arial"/>
          <w:sz w:val="22"/>
          <w:szCs w:val="22"/>
        </w:rPr>
        <w:t>In December 2006 the Queensland Ombudsman tabled the report ‘</w:t>
      </w:r>
      <w:r w:rsidR="00654F7D" w:rsidRPr="00EA3E15">
        <w:rPr>
          <w:rFonts w:ascii="Arial" w:hAnsi="Arial" w:cs="Arial"/>
          <w:i/>
          <w:sz w:val="22"/>
          <w:szCs w:val="22"/>
        </w:rPr>
        <w:t xml:space="preserve">The Coronial Recommendations Project: An investigation into the administrative practice of </w:t>
      </w:r>
      <w:smartTag w:uri="urn:schemas-microsoft-com:office:smarttags" w:element="place">
        <w:smartTag w:uri="urn:schemas-microsoft-com:office:smarttags" w:element="State">
          <w:r w:rsidR="00654F7D" w:rsidRPr="00EA3E15">
            <w:rPr>
              <w:rFonts w:ascii="Arial" w:hAnsi="Arial" w:cs="Arial"/>
              <w:i/>
              <w:sz w:val="22"/>
              <w:szCs w:val="22"/>
            </w:rPr>
            <w:t>Queensland</w:t>
          </w:r>
        </w:smartTag>
      </w:smartTag>
      <w:r w:rsidR="00654F7D" w:rsidRPr="00EA3E15">
        <w:rPr>
          <w:rFonts w:ascii="Arial" w:hAnsi="Arial" w:cs="Arial"/>
          <w:i/>
          <w:sz w:val="22"/>
          <w:szCs w:val="22"/>
        </w:rPr>
        <w:t xml:space="preserve"> public sector agencies in assisting coronial inquiries and responding to coronial recommendations’.</w:t>
      </w:r>
    </w:p>
    <w:p w:rsidR="00C00B0F" w:rsidRPr="00EA3E15" w:rsidRDefault="00C00B0F" w:rsidP="00C07656">
      <w:pPr>
        <w:numPr>
          <w:ilvl w:val="0"/>
          <w:numId w:val="6"/>
        </w:numPr>
        <w:tabs>
          <w:tab w:val="clear" w:pos="720"/>
          <w:tab w:val="num" w:pos="360"/>
        </w:tabs>
        <w:spacing w:before="240"/>
        <w:ind w:left="360"/>
        <w:jc w:val="both"/>
        <w:rPr>
          <w:rFonts w:ascii="Arial" w:hAnsi="Arial" w:cs="Arial"/>
          <w:i/>
          <w:sz w:val="22"/>
          <w:szCs w:val="22"/>
        </w:rPr>
      </w:pPr>
      <w:r w:rsidRPr="00EA3E15">
        <w:rPr>
          <w:rFonts w:ascii="Arial" w:hAnsi="Arial" w:cs="Arial"/>
          <w:sz w:val="22"/>
          <w:szCs w:val="22"/>
        </w:rPr>
        <w:t>The Ombudsman stated that ‘</w:t>
      </w:r>
      <w:r w:rsidRPr="00EA3E15">
        <w:rPr>
          <w:rFonts w:ascii="Arial" w:hAnsi="Arial" w:cs="Arial"/>
          <w:i/>
          <w:sz w:val="22"/>
          <w:szCs w:val="22"/>
        </w:rPr>
        <w:t>the effectiveness of the coronial system is reduced by the fact that public sector agencies to which coronial recommendations are directed are not required to respond to those recommendations’</w:t>
      </w:r>
      <w:r w:rsidRPr="00EA3E15">
        <w:rPr>
          <w:rFonts w:ascii="Arial" w:hAnsi="Arial" w:cs="Arial"/>
          <w:sz w:val="22"/>
          <w:szCs w:val="22"/>
        </w:rPr>
        <w:t>.</w:t>
      </w:r>
    </w:p>
    <w:p w:rsidR="00A05B07" w:rsidRPr="00EA3E15" w:rsidRDefault="00654F7D" w:rsidP="00D870E5">
      <w:pPr>
        <w:numPr>
          <w:ilvl w:val="0"/>
          <w:numId w:val="6"/>
        </w:numPr>
        <w:tabs>
          <w:tab w:val="clear" w:pos="720"/>
          <w:tab w:val="num" w:pos="360"/>
        </w:tabs>
        <w:spacing w:before="240"/>
        <w:ind w:left="360"/>
        <w:jc w:val="both"/>
        <w:rPr>
          <w:rFonts w:ascii="Arial" w:hAnsi="Arial" w:cs="Arial"/>
          <w:sz w:val="22"/>
          <w:szCs w:val="22"/>
        </w:rPr>
      </w:pPr>
      <w:r w:rsidRPr="00EA3E15">
        <w:rPr>
          <w:rFonts w:ascii="Arial" w:hAnsi="Arial" w:cs="Arial"/>
          <w:sz w:val="22"/>
          <w:szCs w:val="22"/>
        </w:rPr>
        <w:t xml:space="preserve">In </w:t>
      </w:r>
      <w:r w:rsidR="00D870E5" w:rsidRPr="00EA3E15">
        <w:rPr>
          <w:rFonts w:ascii="Arial" w:hAnsi="Arial" w:cs="Arial"/>
          <w:sz w:val="22"/>
          <w:szCs w:val="22"/>
        </w:rPr>
        <w:t xml:space="preserve">2007, new coronial reporting arrangements were established </w:t>
      </w:r>
      <w:r w:rsidR="00A05B07" w:rsidRPr="00EA3E15">
        <w:rPr>
          <w:rFonts w:ascii="Arial" w:hAnsi="Arial" w:cs="Arial"/>
          <w:sz w:val="22"/>
          <w:szCs w:val="22"/>
        </w:rPr>
        <w:t>to require government departments to report their responses to coronial recommendations.</w:t>
      </w:r>
    </w:p>
    <w:p w:rsidR="00654F7D" w:rsidRPr="00D676EF" w:rsidRDefault="00D870E5" w:rsidP="00C07656">
      <w:pPr>
        <w:numPr>
          <w:ilvl w:val="0"/>
          <w:numId w:val="6"/>
        </w:numPr>
        <w:tabs>
          <w:tab w:val="clear" w:pos="720"/>
          <w:tab w:val="num" w:pos="360"/>
        </w:tabs>
        <w:spacing w:before="240"/>
        <w:ind w:left="360"/>
        <w:jc w:val="both"/>
        <w:rPr>
          <w:rFonts w:ascii="Arial" w:hAnsi="Arial" w:cs="Arial"/>
          <w:bCs/>
          <w:spacing w:val="-3"/>
          <w:sz w:val="22"/>
          <w:szCs w:val="22"/>
        </w:rPr>
      </w:pPr>
      <w:r w:rsidRPr="00D676EF">
        <w:rPr>
          <w:rFonts w:ascii="Arial" w:hAnsi="Arial" w:cs="Arial"/>
          <w:sz w:val="22"/>
          <w:szCs w:val="22"/>
        </w:rPr>
        <w:t>The</w:t>
      </w:r>
      <w:r w:rsidRPr="00D676EF">
        <w:t xml:space="preserve"> </w:t>
      </w:r>
      <w:r w:rsidRPr="00D676EF">
        <w:rPr>
          <w:rFonts w:ascii="Arial" w:hAnsi="Arial" w:cs="Arial"/>
          <w:i/>
          <w:sz w:val="22"/>
          <w:szCs w:val="22"/>
        </w:rPr>
        <w:t>Government Response to Coronial Recommendations – 2008</w:t>
      </w:r>
      <w:r w:rsidRPr="00D676EF">
        <w:rPr>
          <w:rFonts w:ascii="Arial" w:hAnsi="Arial" w:cs="Arial"/>
          <w:sz w:val="22"/>
          <w:szCs w:val="22"/>
        </w:rPr>
        <w:t xml:space="preserve"> (the Report)</w:t>
      </w:r>
      <w:r w:rsidRPr="00D676EF">
        <w:t xml:space="preserve"> </w:t>
      </w:r>
      <w:r w:rsidR="00A05B07" w:rsidRPr="00D676EF">
        <w:rPr>
          <w:rFonts w:ascii="Arial" w:hAnsi="Arial" w:cs="Arial"/>
          <w:sz w:val="22"/>
          <w:szCs w:val="22"/>
        </w:rPr>
        <w:t>documents</w:t>
      </w:r>
      <w:r w:rsidRPr="00D676EF">
        <w:rPr>
          <w:rFonts w:ascii="Arial" w:hAnsi="Arial" w:cs="Arial"/>
          <w:sz w:val="22"/>
          <w:szCs w:val="22"/>
        </w:rPr>
        <w:t xml:space="preserve"> the Government’s response to coronial recommendations and comments, directed to the Queensland Government</w:t>
      </w:r>
      <w:r w:rsidR="00A05B07" w:rsidRPr="00D676EF">
        <w:rPr>
          <w:rFonts w:ascii="Arial" w:hAnsi="Arial" w:cs="Arial"/>
          <w:sz w:val="22"/>
          <w:szCs w:val="22"/>
        </w:rPr>
        <w:t xml:space="preserve"> departments</w:t>
      </w:r>
      <w:r w:rsidRPr="00D676EF">
        <w:rPr>
          <w:rFonts w:ascii="Arial" w:hAnsi="Arial" w:cs="Arial"/>
          <w:sz w:val="22"/>
          <w:szCs w:val="22"/>
        </w:rPr>
        <w:t>, handed down between 1 January 2008 and 31 December 2008.</w:t>
      </w:r>
    </w:p>
    <w:p w:rsidR="00BD30DA" w:rsidRPr="00D676EF" w:rsidRDefault="00C00B0F" w:rsidP="00BD30DA">
      <w:pPr>
        <w:numPr>
          <w:ilvl w:val="0"/>
          <w:numId w:val="6"/>
        </w:numPr>
        <w:tabs>
          <w:tab w:val="clear" w:pos="720"/>
          <w:tab w:val="num" w:pos="360"/>
        </w:tabs>
        <w:spacing w:before="240"/>
        <w:ind w:left="360"/>
        <w:jc w:val="both"/>
        <w:rPr>
          <w:rFonts w:ascii="Arial" w:hAnsi="Arial" w:cs="Arial"/>
          <w:bCs/>
          <w:spacing w:val="-3"/>
          <w:sz w:val="22"/>
          <w:szCs w:val="22"/>
        </w:rPr>
      </w:pPr>
      <w:r w:rsidRPr="00D676EF">
        <w:rPr>
          <w:rFonts w:ascii="Arial" w:hAnsi="Arial" w:cs="Arial"/>
          <w:sz w:val="22"/>
          <w:szCs w:val="22"/>
        </w:rPr>
        <w:t>The Report contains implementation details for 170 recommendations directed to the Queensland Government drawn from 31 coronial inquests and two coronial investigations. A number of recommendations were directed to more than one department, as a consequence, the report contains 18</w:t>
      </w:r>
      <w:r w:rsidR="00D676EF" w:rsidRPr="00D676EF">
        <w:rPr>
          <w:rFonts w:ascii="Arial" w:hAnsi="Arial" w:cs="Arial"/>
          <w:sz w:val="22"/>
          <w:szCs w:val="22"/>
        </w:rPr>
        <w:t>3</w:t>
      </w:r>
      <w:r w:rsidRPr="00D676EF">
        <w:rPr>
          <w:rFonts w:ascii="Arial" w:hAnsi="Arial" w:cs="Arial"/>
          <w:sz w:val="22"/>
          <w:szCs w:val="22"/>
        </w:rPr>
        <w:t xml:space="preserve"> responses. The 2008 Report highlights that of the 180 responses:</w:t>
      </w:r>
    </w:p>
    <w:p w:rsidR="00C00B0F" w:rsidRPr="00D676EF" w:rsidRDefault="00D676EF" w:rsidP="00BD30DA">
      <w:pPr>
        <w:keepLines/>
        <w:numPr>
          <w:ilvl w:val="0"/>
          <w:numId w:val="14"/>
        </w:numPr>
        <w:tabs>
          <w:tab w:val="clear" w:pos="1260"/>
          <w:tab w:val="num" w:pos="720"/>
        </w:tabs>
        <w:spacing w:before="120"/>
        <w:ind w:left="714" w:hanging="357"/>
        <w:jc w:val="both"/>
        <w:rPr>
          <w:rFonts w:ascii="Arial" w:hAnsi="Arial" w:cs="Arial"/>
          <w:sz w:val="22"/>
          <w:szCs w:val="22"/>
        </w:rPr>
      </w:pPr>
      <w:r w:rsidRPr="00D676EF">
        <w:rPr>
          <w:rFonts w:ascii="Arial" w:hAnsi="Arial" w:cs="Arial"/>
          <w:sz w:val="22"/>
          <w:szCs w:val="22"/>
        </w:rPr>
        <w:t>7</w:t>
      </w:r>
      <w:r w:rsidR="003F03F4">
        <w:rPr>
          <w:rFonts w:ascii="Arial" w:hAnsi="Arial" w:cs="Arial"/>
          <w:sz w:val="22"/>
          <w:szCs w:val="22"/>
        </w:rPr>
        <w:t>2</w:t>
      </w:r>
      <w:r w:rsidR="00C00B0F" w:rsidRPr="00D676EF">
        <w:rPr>
          <w:rFonts w:ascii="Arial" w:hAnsi="Arial" w:cs="Arial"/>
          <w:sz w:val="22"/>
          <w:szCs w:val="22"/>
        </w:rPr>
        <w:t xml:space="preserve"> are now ‘</w:t>
      </w:r>
      <w:r w:rsidR="00C00B0F" w:rsidRPr="00784719">
        <w:rPr>
          <w:rFonts w:ascii="Arial" w:hAnsi="Arial" w:cs="Arial"/>
          <w:i/>
          <w:sz w:val="22"/>
          <w:szCs w:val="22"/>
        </w:rPr>
        <w:t>Completed</w:t>
      </w:r>
      <w:r w:rsidR="00C00B0F" w:rsidRPr="00D676EF">
        <w:rPr>
          <w:rFonts w:ascii="Arial" w:hAnsi="Arial" w:cs="Arial"/>
          <w:sz w:val="22"/>
          <w:szCs w:val="22"/>
        </w:rPr>
        <w:t xml:space="preserve">’ and </w:t>
      </w:r>
      <w:r w:rsidRPr="00D676EF">
        <w:rPr>
          <w:rFonts w:ascii="Arial" w:hAnsi="Arial" w:cs="Arial"/>
          <w:sz w:val="22"/>
          <w:szCs w:val="22"/>
        </w:rPr>
        <w:t>21</w:t>
      </w:r>
      <w:r w:rsidR="00C00B0F" w:rsidRPr="00D676EF">
        <w:rPr>
          <w:rFonts w:ascii="Arial" w:hAnsi="Arial" w:cs="Arial"/>
          <w:sz w:val="22"/>
          <w:szCs w:val="22"/>
        </w:rPr>
        <w:t xml:space="preserve"> are ‘</w:t>
      </w:r>
      <w:r w:rsidR="00C00B0F" w:rsidRPr="00784719">
        <w:rPr>
          <w:rFonts w:ascii="Arial" w:hAnsi="Arial" w:cs="Arial"/>
          <w:i/>
          <w:sz w:val="22"/>
          <w:szCs w:val="22"/>
        </w:rPr>
        <w:t>Comp</w:t>
      </w:r>
      <w:r w:rsidR="00784719">
        <w:rPr>
          <w:rFonts w:ascii="Arial" w:hAnsi="Arial" w:cs="Arial"/>
          <w:i/>
          <w:sz w:val="22"/>
          <w:szCs w:val="22"/>
        </w:rPr>
        <w:t>leted with ongoing i</w:t>
      </w:r>
      <w:r w:rsidR="00C00B0F" w:rsidRPr="00784719">
        <w:rPr>
          <w:rFonts w:ascii="Arial" w:hAnsi="Arial" w:cs="Arial"/>
          <w:i/>
          <w:sz w:val="22"/>
          <w:szCs w:val="22"/>
        </w:rPr>
        <w:t>mplications</w:t>
      </w:r>
      <w:r w:rsidR="00C00B0F" w:rsidRPr="00D676EF">
        <w:rPr>
          <w:rFonts w:ascii="Arial" w:hAnsi="Arial" w:cs="Arial"/>
          <w:sz w:val="22"/>
          <w:szCs w:val="22"/>
        </w:rPr>
        <w:t>’</w:t>
      </w:r>
    </w:p>
    <w:p w:rsidR="00C00B0F" w:rsidRPr="00D676EF" w:rsidRDefault="00D676EF" w:rsidP="00BD30DA">
      <w:pPr>
        <w:keepLines/>
        <w:numPr>
          <w:ilvl w:val="0"/>
          <w:numId w:val="14"/>
        </w:numPr>
        <w:tabs>
          <w:tab w:val="clear" w:pos="1260"/>
          <w:tab w:val="num" w:pos="720"/>
        </w:tabs>
        <w:spacing w:before="120"/>
        <w:ind w:left="714" w:hanging="357"/>
        <w:jc w:val="both"/>
        <w:rPr>
          <w:rFonts w:ascii="Arial" w:hAnsi="Arial" w:cs="Arial"/>
          <w:sz w:val="22"/>
          <w:szCs w:val="22"/>
        </w:rPr>
      </w:pPr>
      <w:r w:rsidRPr="00D676EF">
        <w:rPr>
          <w:rFonts w:ascii="Arial" w:hAnsi="Arial" w:cs="Arial"/>
          <w:sz w:val="22"/>
          <w:szCs w:val="22"/>
        </w:rPr>
        <w:t xml:space="preserve">63 </w:t>
      </w:r>
      <w:r w:rsidR="00784719">
        <w:rPr>
          <w:rFonts w:ascii="Arial" w:hAnsi="Arial" w:cs="Arial"/>
          <w:sz w:val="22"/>
          <w:szCs w:val="22"/>
        </w:rPr>
        <w:t>are ‘</w:t>
      </w:r>
      <w:r w:rsidR="00784719" w:rsidRPr="00784719">
        <w:rPr>
          <w:rFonts w:ascii="Arial" w:hAnsi="Arial" w:cs="Arial"/>
          <w:i/>
          <w:sz w:val="22"/>
          <w:szCs w:val="22"/>
        </w:rPr>
        <w:t>Partially c</w:t>
      </w:r>
      <w:r w:rsidR="00C00B0F" w:rsidRPr="00784719">
        <w:rPr>
          <w:rFonts w:ascii="Arial" w:hAnsi="Arial" w:cs="Arial"/>
          <w:i/>
          <w:sz w:val="22"/>
          <w:szCs w:val="22"/>
        </w:rPr>
        <w:t>ompleted</w:t>
      </w:r>
      <w:r w:rsidR="00C00B0F" w:rsidRPr="00D676EF">
        <w:rPr>
          <w:rFonts w:ascii="Arial" w:hAnsi="Arial" w:cs="Arial"/>
          <w:sz w:val="22"/>
          <w:szCs w:val="22"/>
        </w:rPr>
        <w:t xml:space="preserve">’ </w:t>
      </w:r>
    </w:p>
    <w:p w:rsidR="00C00B0F" w:rsidRPr="00D676EF" w:rsidRDefault="003F03F4" w:rsidP="00BD30DA">
      <w:pPr>
        <w:keepLines/>
        <w:numPr>
          <w:ilvl w:val="0"/>
          <w:numId w:val="14"/>
        </w:numPr>
        <w:tabs>
          <w:tab w:val="clear" w:pos="1260"/>
          <w:tab w:val="num" w:pos="720"/>
        </w:tabs>
        <w:spacing w:before="120"/>
        <w:ind w:left="714" w:hanging="357"/>
        <w:jc w:val="both"/>
        <w:rPr>
          <w:rFonts w:ascii="Arial" w:hAnsi="Arial" w:cs="Arial"/>
          <w:sz w:val="22"/>
          <w:szCs w:val="22"/>
        </w:rPr>
      </w:pPr>
      <w:r>
        <w:rPr>
          <w:rFonts w:ascii="Arial" w:hAnsi="Arial" w:cs="Arial"/>
          <w:sz w:val="22"/>
          <w:szCs w:val="22"/>
        </w:rPr>
        <w:t>19</w:t>
      </w:r>
      <w:r w:rsidR="00C00B0F" w:rsidRPr="00D676EF">
        <w:rPr>
          <w:rFonts w:ascii="Arial" w:hAnsi="Arial" w:cs="Arial"/>
          <w:sz w:val="22"/>
          <w:szCs w:val="22"/>
        </w:rPr>
        <w:t xml:space="preserve"> are ‘</w:t>
      </w:r>
      <w:r w:rsidR="00C00B0F" w:rsidRPr="00784719">
        <w:rPr>
          <w:rFonts w:ascii="Arial" w:hAnsi="Arial" w:cs="Arial"/>
          <w:i/>
          <w:sz w:val="22"/>
          <w:szCs w:val="22"/>
        </w:rPr>
        <w:t xml:space="preserve">Under </w:t>
      </w:r>
      <w:r w:rsidR="00784719" w:rsidRPr="00784719">
        <w:rPr>
          <w:rFonts w:ascii="Arial" w:hAnsi="Arial" w:cs="Arial"/>
          <w:i/>
          <w:sz w:val="22"/>
          <w:szCs w:val="22"/>
        </w:rPr>
        <w:t>c</w:t>
      </w:r>
      <w:r w:rsidR="00C00B0F" w:rsidRPr="00784719">
        <w:rPr>
          <w:rFonts w:ascii="Arial" w:hAnsi="Arial" w:cs="Arial"/>
          <w:i/>
          <w:sz w:val="22"/>
          <w:szCs w:val="22"/>
        </w:rPr>
        <w:t>onsideration</w:t>
      </w:r>
      <w:r w:rsidR="00C00B0F" w:rsidRPr="00D676EF">
        <w:rPr>
          <w:rFonts w:ascii="Arial" w:hAnsi="Arial" w:cs="Arial"/>
          <w:sz w:val="22"/>
          <w:szCs w:val="22"/>
        </w:rPr>
        <w:t xml:space="preserve">’ </w:t>
      </w:r>
    </w:p>
    <w:p w:rsidR="00F04D80" w:rsidRPr="00D676EF" w:rsidRDefault="00012D50" w:rsidP="00BD30DA">
      <w:pPr>
        <w:keepLines/>
        <w:numPr>
          <w:ilvl w:val="0"/>
          <w:numId w:val="14"/>
        </w:numPr>
        <w:tabs>
          <w:tab w:val="clear" w:pos="1260"/>
          <w:tab w:val="num" w:pos="720"/>
        </w:tabs>
        <w:spacing w:before="120"/>
        <w:ind w:left="714" w:hanging="357"/>
        <w:jc w:val="both"/>
        <w:rPr>
          <w:rFonts w:ascii="Arial" w:hAnsi="Arial" w:cs="Arial"/>
          <w:sz w:val="22"/>
          <w:szCs w:val="22"/>
        </w:rPr>
      </w:pPr>
      <w:r>
        <w:rPr>
          <w:rFonts w:ascii="Arial" w:hAnsi="Arial" w:cs="Arial"/>
          <w:sz w:val="22"/>
          <w:szCs w:val="22"/>
        </w:rPr>
        <w:t>eight</w:t>
      </w:r>
      <w:r w:rsidR="00C00B0F" w:rsidRPr="00D676EF">
        <w:rPr>
          <w:rFonts w:ascii="Arial" w:hAnsi="Arial" w:cs="Arial"/>
          <w:sz w:val="22"/>
          <w:szCs w:val="22"/>
        </w:rPr>
        <w:t xml:space="preserve"> are designated ‘</w:t>
      </w:r>
      <w:r w:rsidR="00C00B0F" w:rsidRPr="00784719">
        <w:rPr>
          <w:rFonts w:ascii="Arial" w:hAnsi="Arial" w:cs="Arial"/>
          <w:i/>
          <w:sz w:val="22"/>
          <w:szCs w:val="22"/>
        </w:rPr>
        <w:t xml:space="preserve">Not </w:t>
      </w:r>
      <w:r w:rsidR="00784719" w:rsidRPr="00784719">
        <w:rPr>
          <w:rFonts w:ascii="Arial" w:hAnsi="Arial" w:cs="Arial"/>
          <w:i/>
          <w:sz w:val="22"/>
          <w:szCs w:val="22"/>
        </w:rPr>
        <w:t>being i</w:t>
      </w:r>
      <w:r w:rsidR="00C00B0F" w:rsidRPr="00784719">
        <w:rPr>
          <w:rFonts w:ascii="Arial" w:hAnsi="Arial" w:cs="Arial"/>
          <w:i/>
          <w:sz w:val="22"/>
          <w:szCs w:val="22"/>
        </w:rPr>
        <w:t>mplemented</w:t>
      </w:r>
      <w:r w:rsidR="00C00B0F" w:rsidRPr="00D676EF">
        <w:rPr>
          <w:rFonts w:ascii="Arial" w:hAnsi="Arial" w:cs="Arial"/>
          <w:sz w:val="22"/>
          <w:szCs w:val="22"/>
        </w:rPr>
        <w:t xml:space="preserve">’, indicating that the relevant agency has considered the recommendation and with the support of their Minister have made a decision not to implement it. </w:t>
      </w:r>
    </w:p>
    <w:p w:rsidR="00F04D80" w:rsidRPr="00D676EF" w:rsidRDefault="0029374B" w:rsidP="00C07656">
      <w:pPr>
        <w:numPr>
          <w:ilvl w:val="0"/>
          <w:numId w:val="6"/>
        </w:numPr>
        <w:tabs>
          <w:tab w:val="clear" w:pos="720"/>
          <w:tab w:val="num" w:pos="360"/>
        </w:tabs>
        <w:spacing w:before="240"/>
        <w:ind w:left="360"/>
        <w:jc w:val="both"/>
        <w:rPr>
          <w:rFonts w:ascii="Arial" w:hAnsi="Arial" w:cs="Arial"/>
          <w:bCs/>
          <w:spacing w:val="-3"/>
          <w:sz w:val="22"/>
          <w:szCs w:val="22"/>
        </w:rPr>
      </w:pPr>
      <w:r w:rsidRPr="00D676EF">
        <w:rPr>
          <w:rFonts w:ascii="Arial" w:hAnsi="Arial" w:cs="Arial"/>
          <w:bCs/>
          <w:spacing w:val="-3"/>
          <w:sz w:val="22"/>
          <w:szCs w:val="22"/>
        </w:rPr>
        <w:t xml:space="preserve">Responses were authored by the departments to which the recommendations were directed and then consolidated into the report. Further information regarding implementation or otherwise of specific recommendations should be directed to the responsible agency named in the report. </w:t>
      </w:r>
    </w:p>
    <w:p w:rsidR="00143EBD" w:rsidRPr="00D676EF" w:rsidRDefault="00D870E5" w:rsidP="004849FB">
      <w:pPr>
        <w:numPr>
          <w:ilvl w:val="0"/>
          <w:numId w:val="6"/>
        </w:numPr>
        <w:tabs>
          <w:tab w:val="clear" w:pos="720"/>
          <w:tab w:val="num" w:pos="360"/>
        </w:tabs>
        <w:spacing w:before="240"/>
        <w:ind w:left="360"/>
        <w:jc w:val="both"/>
        <w:rPr>
          <w:rFonts w:ascii="Arial" w:hAnsi="Arial" w:cs="Arial"/>
          <w:bCs/>
          <w:spacing w:val="-3"/>
          <w:sz w:val="22"/>
          <w:szCs w:val="22"/>
        </w:rPr>
      </w:pPr>
      <w:r w:rsidRPr="00BD30DA">
        <w:rPr>
          <w:rFonts w:ascii="Arial" w:hAnsi="Arial" w:cs="Arial"/>
          <w:sz w:val="22"/>
          <w:szCs w:val="22"/>
          <w:u w:val="single"/>
        </w:rPr>
        <w:t>Cabinet</w:t>
      </w:r>
      <w:r w:rsidR="007A0FC5" w:rsidRPr="00BD30DA">
        <w:rPr>
          <w:rFonts w:ascii="Arial" w:hAnsi="Arial" w:cs="Arial"/>
          <w:sz w:val="22"/>
          <w:szCs w:val="22"/>
          <w:u w:val="single"/>
        </w:rPr>
        <w:t xml:space="preserve"> approved</w:t>
      </w:r>
      <w:r w:rsidR="00143EBD" w:rsidRPr="00D676EF">
        <w:rPr>
          <w:rFonts w:ascii="Arial" w:hAnsi="Arial" w:cs="Arial"/>
          <w:sz w:val="22"/>
          <w:szCs w:val="22"/>
        </w:rPr>
        <w:t>:</w:t>
      </w:r>
    </w:p>
    <w:p w:rsidR="00143EBD" w:rsidRPr="007A0FC5" w:rsidRDefault="0030120A" w:rsidP="00BD30DA">
      <w:pPr>
        <w:keepLines/>
        <w:numPr>
          <w:ilvl w:val="0"/>
          <w:numId w:val="14"/>
        </w:numPr>
        <w:tabs>
          <w:tab w:val="clear" w:pos="1260"/>
          <w:tab w:val="num" w:pos="720"/>
        </w:tabs>
        <w:spacing w:before="120"/>
        <w:ind w:left="714" w:hanging="357"/>
        <w:jc w:val="both"/>
        <w:rPr>
          <w:rFonts w:ascii="Arial" w:hAnsi="Arial" w:cs="Arial"/>
          <w:sz w:val="22"/>
          <w:szCs w:val="22"/>
        </w:rPr>
      </w:pPr>
      <w:r>
        <w:rPr>
          <w:rFonts w:ascii="Arial" w:hAnsi="Arial" w:cs="Arial"/>
          <w:sz w:val="22"/>
          <w:szCs w:val="22"/>
        </w:rPr>
        <w:t>t</w:t>
      </w:r>
      <w:r w:rsidR="00143EBD" w:rsidRPr="00143EBD">
        <w:rPr>
          <w:rFonts w:ascii="Arial" w:hAnsi="Arial" w:cs="Arial"/>
          <w:sz w:val="22"/>
          <w:szCs w:val="22"/>
        </w:rPr>
        <w:t xml:space="preserve">he public release of the </w:t>
      </w:r>
      <w:r w:rsidR="00143EBD">
        <w:rPr>
          <w:rFonts w:ascii="Arial" w:hAnsi="Arial" w:cs="Arial"/>
          <w:sz w:val="22"/>
          <w:szCs w:val="22"/>
        </w:rPr>
        <w:t>R</w:t>
      </w:r>
      <w:r w:rsidR="00143EBD" w:rsidRPr="00143EBD">
        <w:rPr>
          <w:rFonts w:ascii="Arial" w:hAnsi="Arial" w:cs="Arial"/>
          <w:sz w:val="22"/>
          <w:szCs w:val="22"/>
        </w:rPr>
        <w:t>eport</w:t>
      </w:r>
      <w:r w:rsidR="00143EBD" w:rsidRPr="00143EBD">
        <w:rPr>
          <w:rFonts w:ascii="Arial" w:hAnsi="Arial" w:cs="Arial"/>
          <w:i/>
          <w:sz w:val="22"/>
          <w:szCs w:val="22"/>
        </w:rPr>
        <w:t>,</w:t>
      </w:r>
      <w:r w:rsidR="00143EBD" w:rsidRPr="00143EBD">
        <w:rPr>
          <w:rFonts w:ascii="Arial" w:hAnsi="Arial" w:cs="Arial"/>
          <w:sz w:val="22"/>
          <w:szCs w:val="22"/>
        </w:rPr>
        <w:t xml:space="preserve"> detailing the Government’s response to coronial recommendations and comments, directed to the Queensland Government, handed down between 1 January 2008 and 31 December 2008;</w:t>
      </w:r>
      <w:r w:rsidR="0004427A">
        <w:rPr>
          <w:rFonts w:ascii="Arial" w:hAnsi="Arial" w:cs="Arial"/>
          <w:sz w:val="22"/>
          <w:szCs w:val="22"/>
        </w:rPr>
        <w:t xml:space="preserve"> and</w:t>
      </w:r>
    </w:p>
    <w:p w:rsidR="00143EBD" w:rsidRPr="00143EBD" w:rsidRDefault="007A0FC5" w:rsidP="00BD30DA">
      <w:pPr>
        <w:keepLines/>
        <w:numPr>
          <w:ilvl w:val="0"/>
          <w:numId w:val="14"/>
        </w:numPr>
        <w:tabs>
          <w:tab w:val="clear" w:pos="1260"/>
          <w:tab w:val="num" w:pos="720"/>
        </w:tabs>
        <w:spacing w:before="120"/>
        <w:ind w:left="714" w:hanging="357"/>
        <w:jc w:val="both"/>
        <w:rPr>
          <w:rFonts w:ascii="Arial" w:hAnsi="Arial" w:cs="Arial"/>
          <w:sz w:val="22"/>
          <w:szCs w:val="22"/>
        </w:rPr>
      </w:pPr>
      <w:r>
        <w:rPr>
          <w:rFonts w:ascii="Arial" w:hAnsi="Arial" w:cs="Arial"/>
          <w:sz w:val="22"/>
          <w:szCs w:val="22"/>
        </w:rPr>
        <w:t xml:space="preserve">that </w:t>
      </w:r>
      <w:r w:rsidR="00143EBD">
        <w:rPr>
          <w:rFonts w:ascii="Arial" w:hAnsi="Arial" w:cs="Arial"/>
          <w:sz w:val="22"/>
          <w:szCs w:val="22"/>
        </w:rPr>
        <w:t>all f</w:t>
      </w:r>
      <w:r w:rsidR="00143EBD" w:rsidRPr="00143EBD">
        <w:rPr>
          <w:rFonts w:ascii="Arial" w:hAnsi="Arial" w:cs="Arial"/>
          <w:sz w:val="22"/>
          <w:szCs w:val="22"/>
        </w:rPr>
        <w:t>uture government responses to coronial recommendations include responses to recommendations made in respect of Government Owned Corporations, Special Purpose Vehicle</w:t>
      </w:r>
      <w:r w:rsidR="0004427A">
        <w:rPr>
          <w:rFonts w:ascii="Arial" w:hAnsi="Arial" w:cs="Arial"/>
          <w:sz w:val="22"/>
          <w:szCs w:val="22"/>
        </w:rPr>
        <w:t>s and statutory authorities.</w:t>
      </w:r>
    </w:p>
    <w:p w:rsidR="00EA00BF" w:rsidRPr="00EA3E15" w:rsidRDefault="00EA00BF" w:rsidP="00EA00BF">
      <w:pPr>
        <w:jc w:val="both"/>
        <w:rPr>
          <w:rFonts w:ascii="Arial" w:hAnsi="Arial" w:cs="Arial"/>
          <w:sz w:val="22"/>
          <w:szCs w:val="22"/>
        </w:rPr>
      </w:pPr>
    </w:p>
    <w:p w:rsidR="00EA00BF" w:rsidRPr="0004427A" w:rsidRDefault="00EA00BF" w:rsidP="003A269C">
      <w:pPr>
        <w:keepNext/>
        <w:numPr>
          <w:ilvl w:val="0"/>
          <w:numId w:val="6"/>
        </w:numPr>
        <w:tabs>
          <w:tab w:val="clear" w:pos="720"/>
          <w:tab w:val="num" w:pos="360"/>
        </w:tabs>
        <w:ind w:left="357" w:hanging="357"/>
        <w:jc w:val="both"/>
        <w:rPr>
          <w:rFonts w:ascii="Arial" w:hAnsi="Arial" w:cs="Arial"/>
          <w:sz w:val="22"/>
          <w:szCs w:val="22"/>
        </w:rPr>
      </w:pPr>
      <w:r w:rsidRPr="00EA3E15">
        <w:rPr>
          <w:rFonts w:ascii="Arial" w:hAnsi="Arial" w:cs="Arial"/>
          <w:i/>
          <w:sz w:val="22"/>
          <w:szCs w:val="22"/>
          <w:u w:val="single"/>
        </w:rPr>
        <w:t>Attachments</w:t>
      </w:r>
      <w:r w:rsidR="0004427A">
        <w:rPr>
          <w:rFonts w:ascii="Arial" w:hAnsi="Arial" w:cs="Arial"/>
          <w:i/>
          <w:sz w:val="22"/>
          <w:szCs w:val="22"/>
          <w:u w:val="single"/>
        </w:rPr>
        <w:t>:</w:t>
      </w:r>
    </w:p>
    <w:p w:rsidR="0004427A" w:rsidRPr="00EA3E15" w:rsidRDefault="0004427A" w:rsidP="0004427A">
      <w:pPr>
        <w:keepNext/>
        <w:jc w:val="both"/>
        <w:rPr>
          <w:rFonts w:ascii="Arial" w:hAnsi="Arial" w:cs="Arial"/>
          <w:sz w:val="22"/>
          <w:szCs w:val="22"/>
        </w:rPr>
      </w:pPr>
    </w:p>
    <w:p w:rsidR="00EA00BF" w:rsidRPr="00EA3E15" w:rsidRDefault="00213DA9" w:rsidP="00C92E8F">
      <w:pPr>
        <w:numPr>
          <w:ilvl w:val="0"/>
          <w:numId w:val="8"/>
        </w:numPr>
        <w:tabs>
          <w:tab w:val="num" w:pos="280"/>
        </w:tabs>
        <w:jc w:val="both"/>
        <w:rPr>
          <w:rFonts w:ascii="Arial" w:hAnsi="Arial" w:cs="Arial"/>
          <w:sz w:val="22"/>
          <w:szCs w:val="22"/>
        </w:rPr>
      </w:pPr>
      <w:hyperlink r:id="rId7" w:history="1">
        <w:r w:rsidR="00C92E8F" w:rsidRPr="00CE097B">
          <w:rPr>
            <w:rStyle w:val="Hyperlink"/>
            <w:rFonts w:ascii="Arial" w:hAnsi="Arial" w:cs="Arial"/>
            <w:sz w:val="22"/>
            <w:szCs w:val="22"/>
          </w:rPr>
          <w:t>Government Response to Coronial Recommendations – 2008</w:t>
        </w:r>
      </w:hyperlink>
    </w:p>
    <w:p w:rsidR="000B545C" w:rsidRPr="00C07656" w:rsidRDefault="000B545C">
      <w:pPr>
        <w:rPr>
          <w:rFonts w:ascii="Arial" w:hAnsi="Arial" w:cs="Arial"/>
          <w:sz w:val="22"/>
          <w:szCs w:val="22"/>
        </w:rPr>
      </w:pPr>
    </w:p>
    <w:p w:rsidR="000B545C" w:rsidRPr="00C07656" w:rsidRDefault="000B545C">
      <w:pPr>
        <w:rPr>
          <w:rFonts w:ascii="Arial" w:hAnsi="Arial" w:cs="Arial"/>
          <w:sz w:val="22"/>
          <w:szCs w:val="22"/>
        </w:rPr>
      </w:pPr>
    </w:p>
    <w:sectPr w:rsidR="000B545C" w:rsidRPr="00C07656" w:rsidSect="007D3B9D">
      <w:headerReference w:type="even" r:id="rId8"/>
      <w:headerReference w:type="default" r:id="rId9"/>
      <w:footerReference w:type="even" r:id="rId10"/>
      <w:footerReference w:type="default" r:id="rId11"/>
      <w:headerReference w:type="first" r:id="rId12"/>
      <w:footerReference w:type="first" r:id="rId13"/>
      <w:pgSz w:w="11907" w:h="16840" w:code="9"/>
      <w:pgMar w:top="1985" w:right="1418" w:bottom="907" w:left="1418" w:header="89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2AA" w:rsidRDefault="00A342AA">
      <w:r>
        <w:separator/>
      </w:r>
    </w:p>
  </w:endnote>
  <w:endnote w:type="continuationSeparator" w:id="0">
    <w:p w:rsidR="00A342AA" w:rsidRDefault="00A3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9BE" w:rsidRDefault="00B539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FC5" w:rsidRPr="001141E1" w:rsidRDefault="007A0FC5"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9BE" w:rsidRDefault="00B539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2AA" w:rsidRDefault="00A342AA">
      <w:r>
        <w:separator/>
      </w:r>
    </w:p>
  </w:footnote>
  <w:footnote w:type="continuationSeparator" w:id="0">
    <w:p w:rsidR="00A342AA" w:rsidRDefault="00A34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9BE" w:rsidRDefault="00B539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FC5" w:rsidRPr="000400F9" w:rsidRDefault="007516B4" w:rsidP="007D3B9D">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7A0FC5" w:rsidRPr="000400F9">
      <w:rPr>
        <w:rFonts w:ascii="Arial" w:hAnsi="Arial" w:cs="Arial"/>
        <w:b/>
        <w:sz w:val="22"/>
        <w:szCs w:val="22"/>
        <w:u w:val="single"/>
      </w:rPr>
      <w:t xml:space="preserve">Cabinet – </w:t>
    </w:r>
    <w:r w:rsidR="007A0FC5">
      <w:rPr>
        <w:rFonts w:ascii="Arial" w:hAnsi="Arial" w:cs="Arial"/>
        <w:b/>
        <w:sz w:val="22"/>
        <w:szCs w:val="22"/>
        <w:u w:val="single"/>
      </w:rPr>
      <w:t>Ju</w:t>
    </w:r>
    <w:r w:rsidR="00B539BE">
      <w:rPr>
        <w:rFonts w:ascii="Arial" w:hAnsi="Arial" w:cs="Arial"/>
        <w:b/>
        <w:sz w:val="22"/>
        <w:szCs w:val="22"/>
        <w:u w:val="single"/>
      </w:rPr>
      <w:t>ly</w:t>
    </w:r>
    <w:r w:rsidR="007A0FC5">
      <w:rPr>
        <w:rFonts w:ascii="Arial" w:hAnsi="Arial" w:cs="Arial"/>
        <w:b/>
        <w:sz w:val="22"/>
        <w:szCs w:val="22"/>
        <w:u w:val="single"/>
      </w:rPr>
      <w:t xml:space="preserve"> 2009</w:t>
    </w:r>
  </w:p>
  <w:p w:rsidR="007A0FC5" w:rsidRDefault="007A0FC5" w:rsidP="000400F9">
    <w:pPr>
      <w:pStyle w:val="Header"/>
      <w:spacing w:before="120"/>
      <w:rPr>
        <w:rFonts w:ascii="Arial" w:hAnsi="Arial" w:cs="Arial"/>
        <w:b/>
        <w:sz w:val="22"/>
        <w:szCs w:val="22"/>
        <w:u w:val="single"/>
      </w:rPr>
    </w:pPr>
    <w:r>
      <w:rPr>
        <w:rFonts w:ascii="Arial" w:hAnsi="Arial" w:cs="Arial"/>
        <w:b/>
        <w:sz w:val="22"/>
        <w:szCs w:val="22"/>
        <w:u w:val="single"/>
      </w:rPr>
      <w:t xml:space="preserve">Government response to Coronial Recommendations – 2008 </w:t>
    </w:r>
  </w:p>
  <w:p w:rsidR="007A0FC5" w:rsidRDefault="007A0FC5" w:rsidP="000400F9">
    <w:pPr>
      <w:pStyle w:val="Header"/>
      <w:spacing w:before="120"/>
      <w:rPr>
        <w:rFonts w:ascii="Arial" w:hAnsi="Arial" w:cs="Arial"/>
        <w:b/>
        <w:sz w:val="22"/>
        <w:szCs w:val="22"/>
        <w:u w:val="single"/>
      </w:rPr>
    </w:pPr>
    <w:r>
      <w:rPr>
        <w:rFonts w:ascii="Arial" w:hAnsi="Arial" w:cs="Arial"/>
        <w:b/>
        <w:sz w:val="22"/>
        <w:szCs w:val="22"/>
        <w:u w:val="single"/>
      </w:rPr>
      <w:t xml:space="preserve">Attorney-General and Minister for Industrial Relations </w:t>
    </w:r>
  </w:p>
  <w:p w:rsidR="007A0FC5" w:rsidRPr="000400F9" w:rsidRDefault="007A0FC5" w:rsidP="007D3B9D">
    <w:pPr>
      <w:pStyle w:val="Header"/>
      <w:pBdr>
        <w:bottom w:val="single" w:sz="8" w:space="1" w:color="auto"/>
      </w:pBdr>
      <w:spacing w:line="60" w:lineRule="exact"/>
      <w:rPr>
        <w:rFonts w:ascii="Arial" w:hAnsi="Arial" w:cs="Arial"/>
        <w:b/>
        <w:sz w:val="22"/>
        <w:szCs w:val="22"/>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9BE" w:rsidRDefault="00B539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BBF02D9"/>
    <w:multiLevelType w:val="hybridMultilevel"/>
    <w:tmpl w:val="D9CE702E"/>
    <w:lvl w:ilvl="0" w:tplc="6BD8D1A0">
      <w:numFmt w:val="bullet"/>
      <w:lvlText w:val="-"/>
      <w:lvlJc w:val="left"/>
      <w:pPr>
        <w:tabs>
          <w:tab w:val="num" w:pos="720"/>
        </w:tabs>
        <w:ind w:left="720" w:hanging="360"/>
      </w:pPr>
      <w:rPr>
        <w:rFonts w:ascii="Times New Roman" w:eastAsia="Times New Roman" w:hAnsi="Times New Roman" w:cs="Times New Roman" w:hint="default"/>
      </w:rPr>
    </w:lvl>
    <w:lvl w:ilvl="1" w:tplc="E8F803CE">
      <w:start w:val="11"/>
      <w:numFmt w:val="decimal"/>
      <w:lvlText w:val="%2."/>
      <w:lvlJc w:val="left"/>
      <w:pPr>
        <w:tabs>
          <w:tab w:val="num" w:pos="1477"/>
        </w:tabs>
        <w:ind w:left="1440" w:hanging="360"/>
      </w:pPr>
      <w:rPr>
        <w:rFonts w:hint="default"/>
        <w:b w:val="0"/>
        <w:i w:val="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6D1708"/>
    <w:multiLevelType w:val="hybridMultilevel"/>
    <w:tmpl w:val="761C7000"/>
    <w:lvl w:ilvl="0" w:tplc="0A42E730">
      <w:start w:val="3"/>
      <w:numFmt w:val="lowerRoman"/>
      <w:lvlText w:val="%1."/>
      <w:lvlJc w:val="left"/>
      <w:pPr>
        <w:tabs>
          <w:tab w:val="num" w:pos="1080"/>
        </w:tabs>
        <w:ind w:left="1080" w:hanging="720"/>
      </w:pPr>
      <w:rPr>
        <w:rFonts w:hint="default"/>
      </w:rPr>
    </w:lvl>
    <w:lvl w:ilvl="1" w:tplc="4094D748">
      <w:start w:val="8"/>
      <w:numFmt w:val="decimal"/>
      <w:lvlText w:val="%2."/>
      <w:lvlJc w:val="left"/>
      <w:pPr>
        <w:tabs>
          <w:tab w:val="num" w:pos="1440"/>
        </w:tabs>
        <w:ind w:left="1440" w:hanging="360"/>
      </w:pPr>
      <w:rPr>
        <w:rFonts w:hint="default"/>
        <w:b w:val="0"/>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FE05BCB"/>
    <w:multiLevelType w:val="hybridMultilevel"/>
    <w:tmpl w:val="6FA479C8"/>
    <w:lvl w:ilvl="0" w:tplc="0C09000B">
      <w:start w:val="1"/>
      <w:numFmt w:val="decimal"/>
      <w:lvlText w:val="%1."/>
      <w:lvlJc w:val="left"/>
      <w:pPr>
        <w:tabs>
          <w:tab w:val="num" w:pos="360"/>
        </w:tabs>
        <w:ind w:left="360" w:hanging="360"/>
      </w:pPr>
      <w:rPr>
        <w:b w:val="0"/>
      </w:rPr>
    </w:lvl>
    <w:lvl w:ilvl="1" w:tplc="0C090003">
      <w:start w:val="3"/>
      <w:numFmt w:val="decimal"/>
      <w:lvlText w:val="%2."/>
      <w:lvlJc w:val="left"/>
      <w:pPr>
        <w:tabs>
          <w:tab w:val="num" w:pos="1080"/>
        </w:tabs>
        <w:ind w:left="1080" w:hanging="360"/>
      </w:pPr>
      <w:rPr>
        <w:rFonts w:hint="default"/>
        <w:b w:val="0"/>
        <w:i w:val="0"/>
      </w:rPr>
    </w:lvl>
    <w:lvl w:ilvl="2" w:tplc="0C090005" w:tentative="1">
      <w:start w:val="1"/>
      <w:numFmt w:val="lowerRoman"/>
      <w:lvlText w:val="%3."/>
      <w:lvlJc w:val="right"/>
      <w:pPr>
        <w:tabs>
          <w:tab w:val="num" w:pos="1800"/>
        </w:tabs>
        <w:ind w:left="1800" w:hanging="180"/>
      </w:pPr>
    </w:lvl>
    <w:lvl w:ilvl="3" w:tplc="0C090001" w:tentative="1">
      <w:start w:val="1"/>
      <w:numFmt w:val="decimal"/>
      <w:lvlText w:val="%4."/>
      <w:lvlJc w:val="left"/>
      <w:pPr>
        <w:tabs>
          <w:tab w:val="num" w:pos="2520"/>
        </w:tabs>
        <w:ind w:left="2520" w:hanging="360"/>
      </w:pPr>
    </w:lvl>
    <w:lvl w:ilvl="4" w:tplc="0C090003" w:tentative="1">
      <w:start w:val="1"/>
      <w:numFmt w:val="lowerLetter"/>
      <w:lvlText w:val="%5."/>
      <w:lvlJc w:val="left"/>
      <w:pPr>
        <w:tabs>
          <w:tab w:val="num" w:pos="3240"/>
        </w:tabs>
        <w:ind w:left="3240" w:hanging="360"/>
      </w:pPr>
    </w:lvl>
    <w:lvl w:ilvl="5" w:tplc="0C090005" w:tentative="1">
      <w:start w:val="1"/>
      <w:numFmt w:val="lowerRoman"/>
      <w:lvlText w:val="%6."/>
      <w:lvlJc w:val="right"/>
      <w:pPr>
        <w:tabs>
          <w:tab w:val="num" w:pos="3960"/>
        </w:tabs>
        <w:ind w:left="3960" w:hanging="180"/>
      </w:pPr>
    </w:lvl>
    <w:lvl w:ilvl="6" w:tplc="0C090001" w:tentative="1">
      <w:start w:val="1"/>
      <w:numFmt w:val="decimal"/>
      <w:lvlText w:val="%7."/>
      <w:lvlJc w:val="left"/>
      <w:pPr>
        <w:tabs>
          <w:tab w:val="num" w:pos="4680"/>
        </w:tabs>
        <w:ind w:left="4680" w:hanging="360"/>
      </w:pPr>
    </w:lvl>
    <w:lvl w:ilvl="7" w:tplc="0C090003" w:tentative="1">
      <w:start w:val="1"/>
      <w:numFmt w:val="lowerLetter"/>
      <w:lvlText w:val="%8."/>
      <w:lvlJc w:val="left"/>
      <w:pPr>
        <w:tabs>
          <w:tab w:val="num" w:pos="5400"/>
        </w:tabs>
        <w:ind w:left="5400" w:hanging="360"/>
      </w:pPr>
    </w:lvl>
    <w:lvl w:ilvl="8" w:tplc="0C090005" w:tentative="1">
      <w:start w:val="1"/>
      <w:numFmt w:val="lowerRoman"/>
      <w:lvlText w:val="%9."/>
      <w:lvlJc w:val="right"/>
      <w:pPr>
        <w:tabs>
          <w:tab w:val="num" w:pos="6120"/>
        </w:tabs>
        <w:ind w:left="6120" w:hanging="180"/>
      </w:pPr>
    </w:lvl>
  </w:abstractNum>
  <w:abstractNum w:abstractNumId="5"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5FF1664E"/>
    <w:multiLevelType w:val="hybridMultilevel"/>
    <w:tmpl w:val="C1ECEBC8"/>
    <w:lvl w:ilvl="0" w:tplc="7346BD1A">
      <w:start w:val="1"/>
      <w:numFmt w:val="decimal"/>
      <w:lvlText w:val="%1."/>
      <w:lvlJc w:val="left"/>
      <w:pPr>
        <w:tabs>
          <w:tab w:val="num" w:pos="360"/>
        </w:tabs>
        <w:ind w:left="36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4DE29CC"/>
    <w:multiLevelType w:val="hybridMultilevel"/>
    <w:tmpl w:val="135295BE"/>
    <w:lvl w:ilvl="0" w:tplc="8B801A5E">
      <w:start w:val="1"/>
      <w:numFmt w:val="bullet"/>
      <w:lvlText w:val=""/>
      <w:lvlJc w:val="left"/>
      <w:pPr>
        <w:tabs>
          <w:tab w:val="num" w:pos="1260"/>
        </w:tabs>
        <w:ind w:left="1260" w:hanging="390"/>
      </w:pPr>
      <w:rPr>
        <w:rFonts w:ascii="Symbol" w:hAnsi="Symbol" w:hint="default"/>
        <w:color w:val="auto"/>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7F176F87"/>
    <w:multiLevelType w:val="hybridMultilevel"/>
    <w:tmpl w:val="5B122646"/>
    <w:lvl w:ilvl="0" w:tplc="9CB40E2A">
      <w:start w:val="1"/>
      <w:numFmt w:val="decimal"/>
      <w:lvlText w:val="%1."/>
      <w:lvlJc w:val="left"/>
      <w:pPr>
        <w:tabs>
          <w:tab w:val="num" w:pos="720"/>
        </w:tabs>
        <w:ind w:left="720" w:hanging="360"/>
      </w:pPr>
      <w:rPr>
        <w:i w:val="0"/>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13"/>
  </w:num>
  <w:num w:numId="4">
    <w:abstractNumId w:val="5"/>
  </w:num>
  <w:num w:numId="5">
    <w:abstractNumId w:val="1"/>
  </w:num>
  <w:num w:numId="6">
    <w:abstractNumId w:val="15"/>
  </w:num>
  <w:num w:numId="7">
    <w:abstractNumId w:val="14"/>
  </w:num>
  <w:num w:numId="8">
    <w:abstractNumId w:val="12"/>
  </w:num>
  <w:num w:numId="9">
    <w:abstractNumId w:val="10"/>
  </w:num>
  <w:num w:numId="10">
    <w:abstractNumId w:val="7"/>
  </w:num>
  <w:num w:numId="11">
    <w:abstractNumId w:val="6"/>
  </w:num>
  <w:num w:numId="12">
    <w:abstractNumId w:val="9"/>
  </w:num>
  <w:num w:numId="13">
    <w:abstractNumId w:val="2"/>
  </w:num>
  <w:num w:numId="14">
    <w:abstractNumId w:val="11"/>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F9C"/>
    <w:rsid w:val="00012D50"/>
    <w:rsid w:val="0002082F"/>
    <w:rsid w:val="00021B34"/>
    <w:rsid w:val="000400F9"/>
    <w:rsid w:val="0004427A"/>
    <w:rsid w:val="000808B3"/>
    <w:rsid w:val="000B545C"/>
    <w:rsid w:val="000B739A"/>
    <w:rsid w:val="000D059C"/>
    <w:rsid w:val="001141E1"/>
    <w:rsid w:val="00133013"/>
    <w:rsid w:val="00133A34"/>
    <w:rsid w:val="00143EBD"/>
    <w:rsid w:val="00160524"/>
    <w:rsid w:val="00213DA9"/>
    <w:rsid w:val="00246EAE"/>
    <w:rsid w:val="00254E35"/>
    <w:rsid w:val="0028053C"/>
    <w:rsid w:val="0029374B"/>
    <w:rsid w:val="002F57E4"/>
    <w:rsid w:val="0030120A"/>
    <w:rsid w:val="00314FEB"/>
    <w:rsid w:val="0032048B"/>
    <w:rsid w:val="00346156"/>
    <w:rsid w:val="00382380"/>
    <w:rsid w:val="003865BA"/>
    <w:rsid w:val="003A269C"/>
    <w:rsid w:val="003A2E0F"/>
    <w:rsid w:val="003C3732"/>
    <w:rsid w:val="003F03F4"/>
    <w:rsid w:val="00435BE5"/>
    <w:rsid w:val="004652F7"/>
    <w:rsid w:val="0048019C"/>
    <w:rsid w:val="004849FB"/>
    <w:rsid w:val="00486A99"/>
    <w:rsid w:val="004E6C38"/>
    <w:rsid w:val="00555FA4"/>
    <w:rsid w:val="0056401D"/>
    <w:rsid w:val="00584C16"/>
    <w:rsid w:val="005B1D9B"/>
    <w:rsid w:val="00600829"/>
    <w:rsid w:val="006100CC"/>
    <w:rsid w:val="00644076"/>
    <w:rsid w:val="00654F7D"/>
    <w:rsid w:val="006631CF"/>
    <w:rsid w:val="006818F8"/>
    <w:rsid w:val="00682036"/>
    <w:rsid w:val="006B3B54"/>
    <w:rsid w:val="006D0869"/>
    <w:rsid w:val="006E6713"/>
    <w:rsid w:val="006E7F29"/>
    <w:rsid w:val="007060D7"/>
    <w:rsid w:val="00726F36"/>
    <w:rsid w:val="00732288"/>
    <w:rsid w:val="007516B4"/>
    <w:rsid w:val="00782009"/>
    <w:rsid w:val="00784719"/>
    <w:rsid w:val="007A0FC5"/>
    <w:rsid w:val="007A25F4"/>
    <w:rsid w:val="007A6599"/>
    <w:rsid w:val="007D3B9D"/>
    <w:rsid w:val="007F52D6"/>
    <w:rsid w:val="0082040E"/>
    <w:rsid w:val="00844AB7"/>
    <w:rsid w:val="00845D3E"/>
    <w:rsid w:val="008A5F1B"/>
    <w:rsid w:val="008B7E17"/>
    <w:rsid w:val="008F44CD"/>
    <w:rsid w:val="00922A5B"/>
    <w:rsid w:val="009D0C12"/>
    <w:rsid w:val="009F5476"/>
    <w:rsid w:val="00A05B07"/>
    <w:rsid w:val="00A20C0E"/>
    <w:rsid w:val="00A30F55"/>
    <w:rsid w:val="00A342AA"/>
    <w:rsid w:val="00A7714B"/>
    <w:rsid w:val="00AA128C"/>
    <w:rsid w:val="00AB6637"/>
    <w:rsid w:val="00AE1995"/>
    <w:rsid w:val="00B40BDF"/>
    <w:rsid w:val="00B539BE"/>
    <w:rsid w:val="00B71B21"/>
    <w:rsid w:val="00BD30DA"/>
    <w:rsid w:val="00C00B0F"/>
    <w:rsid w:val="00C07656"/>
    <w:rsid w:val="00C50476"/>
    <w:rsid w:val="00C61F9C"/>
    <w:rsid w:val="00C805EC"/>
    <w:rsid w:val="00C85B71"/>
    <w:rsid w:val="00C92E8F"/>
    <w:rsid w:val="00CB0E40"/>
    <w:rsid w:val="00CC6E67"/>
    <w:rsid w:val="00CE097B"/>
    <w:rsid w:val="00CE6FBA"/>
    <w:rsid w:val="00D54601"/>
    <w:rsid w:val="00D676EF"/>
    <w:rsid w:val="00D718FC"/>
    <w:rsid w:val="00D870E5"/>
    <w:rsid w:val="00DD3CD5"/>
    <w:rsid w:val="00DD497C"/>
    <w:rsid w:val="00DF4650"/>
    <w:rsid w:val="00E33FAC"/>
    <w:rsid w:val="00E463C2"/>
    <w:rsid w:val="00EA00BF"/>
    <w:rsid w:val="00EA3E15"/>
    <w:rsid w:val="00F04D80"/>
    <w:rsid w:val="00F12774"/>
    <w:rsid w:val="00F756F8"/>
    <w:rsid w:val="00FB54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character" w:styleId="Hyperlink">
    <w:name w:val="Hyperlink"/>
    <w:basedOn w:val="DefaultParagraphFont"/>
    <w:rsid w:val="00CE097B"/>
    <w:rPr>
      <w:color w:val="0000FF"/>
      <w:u w:val="single"/>
    </w:rPr>
  </w:style>
  <w:style w:type="character" w:styleId="FollowedHyperlink">
    <w:name w:val="FollowedHyperlink"/>
    <w:basedOn w:val="DefaultParagraphFont"/>
    <w:rsid w:val="00CE097B"/>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Attachments/QldGovresponsetoCoroner.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ridesjk.JUSTICE\Local%20Settings\Temporary%20Internet%20Files\OLK11\Decision%20Summary%20Template%20v0%2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Decision Summary Template v0 4.dot</Template>
  <TotalTime>0</TotalTime>
  <Pages>1</Pages>
  <Words>329</Words>
  <Characters>2047</Characters>
  <Application>Microsoft Office Word</Application>
  <DocSecurity>0</DocSecurity>
  <Lines>40</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2374</CharactersWithSpaces>
  <SharedDoc>false</SharedDoc>
  <HyperlinkBase>https://www.cabinet.qld.gov.au/documents/2009/Jul/Coronial Recommendations/</HyperlinkBase>
  <HLinks>
    <vt:vector size="6" baseType="variant">
      <vt:variant>
        <vt:i4>6291560</vt:i4>
      </vt:variant>
      <vt:variant>
        <vt:i4>0</vt:i4>
      </vt:variant>
      <vt:variant>
        <vt:i4>0</vt:i4>
      </vt:variant>
      <vt:variant>
        <vt:i4>5</vt:i4>
      </vt:variant>
      <vt:variant>
        <vt:lpwstr>Attachments/QldGovresponsetoCoroner.pdf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Coroner</cp:keywords>
  <dc:description/>
  <cp:lastModifiedBy/>
  <cp:revision>2</cp:revision>
  <cp:lastPrinted>2009-07-23T00:26:00Z</cp:lastPrinted>
  <dcterms:created xsi:type="dcterms:W3CDTF">2017-10-24T22:00:00Z</dcterms:created>
  <dcterms:modified xsi:type="dcterms:W3CDTF">2018-03-06T00:56:00Z</dcterms:modified>
  <cp:category>Coroner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-1692691313</vt:i4>
  </property>
  <property fmtid="{D5CDD505-2E9C-101B-9397-08002B2CF9AE}" pid="3" name="_NewReviewCycle">
    <vt:lpwstr/>
  </property>
  <property fmtid="{D5CDD505-2E9C-101B-9397-08002B2CF9AE}" pid="4" name="_PreviousAdHocReviewCycleID">
    <vt:i4>271088191</vt:i4>
  </property>
  <property fmtid="{D5CDD505-2E9C-101B-9397-08002B2CF9AE}" pid="5" name="_ReviewingToolsShownOnce">
    <vt:lpwstr/>
  </property>
</Properties>
</file>